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7B404" w14:textId="0BD062B7" w:rsidR="004A37F4" w:rsidRDefault="00000000">
      <w:pPr>
        <w:spacing w:after="40"/>
      </w:pPr>
      <w:r>
        <w:rPr>
          <w:b/>
          <w:bCs/>
          <w:color w:val="111827"/>
          <w:sz w:val="36"/>
          <w:szCs w:val="36"/>
        </w:rPr>
        <w:t>JOSE SALVADOR</w:t>
      </w:r>
    </w:p>
    <w:p w14:paraId="7531C53B" w14:textId="77777777" w:rsidR="004A37F4" w:rsidRDefault="00000000">
      <w:pPr>
        <w:spacing w:after="56"/>
      </w:pPr>
      <w:r>
        <w:rPr>
          <w:color w:val="6B7280"/>
        </w:rPr>
        <w:t>Senior Manager, Experience Design  ·  Enterprise Platform UX  ·  Design Team Leadership</w:t>
      </w:r>
    </w:p>
    <w:p w14:paraId="11686917" w14:textId="77777777" w:rsidR="004A37F4" w:rsidRDefault="00000000">
      <w:pPr>
        <w:spacing w:after="60"/>
      </w:pPr>
      <w:r>
        <w:rPr>
          <w:color w:val="6B7280"/>
          <w:sz w:val="17"/>
          <w:szCs w:val="17"/>
        </w:rPr>
        <w:t>New Jersey, USA  ·  jsalvador74@gmail.com  ·  908.525.2779  ·  www.jmsalvador.com  ·  in/jsalvador74</w:t>
      </w:r>
    </w:p>
    <w:p w14:paraId="6D94462F" w14:textId="77777777" w:rsidR="004A37F4" w:rsidRDefault="004A37F4">
      <w:pPr>
        <w:pBdr>
          <w:bottom w:val="single" w:sz="6" w:space="0" w:color="E5E7EB"/>
        </w:pBdr>
        <w:spacing w:before="100" w:after="100"/>
      </w:pPr>
    </w:p>
    <w:p w14:paraId="6C556711" w14:textId="77777777" w:rsidR="004A37F4" w:rsidRDefault="00000000">
      <w:pPr>
        <w:spacing w:before="60" w:after="60"/>
      </w:pPr>
      <w:r>
        <w:rPr>
          <w:color w:val="111827"/>
        </w:rPr>
        <w:t>Design leader with 16+ years building and managing teams that deliver coherent, scalable experiences across complex enterprise platforms. Deep experience designing and governing admin, governance, permissions, and configuration workflows — the infrastructure-layer UX that holds large-scale products together. Known for building inclusive, high-performing design cultures, coaching designers across seniority levels, and driving cross-functional alignment across product, engineering, and research in fast-moving, ambiguous environments. Brings a systems-first mindset: when something works, the instinct is to make it reusable, documented, and adopted at scale.</w:t>
      </w:r>
    </w:p>
    <w:p w14:paraId="235FE9E5" w14:textId="77777777" w:rsidR="004A37F4" w:rsidRDefault="004A37F4">
      <w:pPr>
        <w:pBdr>
          <w:bottom w:val="single" w:sz="6" w:space="0" w:color="E5E7EB"/>
        </w:pBdr>
        <w:spacing w:before="100" w:after="100"/>
      </w:pPr>
    </w:p>
    <w:p w14:paraId="319CAD44" w14:textId="77777777" w:rsidR="004A37F4" w:rsidRPr="00932989" w:rsidRDefault="00000000">
      <w:pPr>
        <w:spacing w:before="160" w:after="60"/>
        <w:rPr>
          <w:color w:val="153D63" w:themeColor="text2" w:themeTint="E6"/>
        </w:rPr>
      </w:pPr>
      <w:r>
        <w:rPr>
          <w:b/>
          <w:bCs/>
          <w:color w:val="153D63" w:themeColor="text2" w:themeTint="E6"/>
          <w:sz w:val="18"/>
          <w:szCs w:val="18"/>
        </w:rPr>
        <w:t>EXPERIENCE</w:t>
      </w:r>
    </w:p>
    <w:p w14:paraId="1A2B3C01" w14:textId="77777777" w:rsidR="00851561" w:rsidRDefault="00851561" w:rsidP="00851561">
      <w:pPr>
        <w:tabs>
          <w:tab w:val="right" w:pos="9360"/>
        </w:tabs>
        <w:spacing w:before="120" w:after="16"/>
      </w:pPr>
      <w:r>
        <w:rPr>
          <w:b/>
          <w:bCs/>
          <w:color w:val="111827"/>
        </w:rPr>
        <w:t>Product Design Lead</w:t>
      </w:r>
      <w:r>
        <w:rPr>
          <w:color w:val="6B7280"/>
        </w:rPr>
        <w:t xml:space="preserve">  ·  </w:t>
      </w:r>
      <w:r>
        <w:rPr>
          <w:i/>
          <w:iCs/>
          <w:color w:val="374151"/>
        </w:rPr>
        <w:t>Bank of New York — Enterprise Custody Platforms, AI &amp; Financial Infrastructure</w:t>
      </w:r>
      <w:r>
        <w:tab/>
      </w:r>
      <w:r>
        <w:rPr>
          <w:color w:val="6B7280"/>
          <w:sz w:val="17"/>
          <w:szCs w:val="17"/>
        </w:rPr>
        <w:t>Jun 2026 – Present</w:t>
      </w:r>
    </w:p>
    <w:p w14:paraId="1A2B3C02" w14:textId="77777777" w:rsidR="00851561" w:rsidRDefault="00851561" w:rsidP="00851561">
      <w:pPr>
        <w:spacing w:after="28"/>
      </w:pPr>
      <w:r>
        <w:rPr>
          <w:i/>
          <w:iCs/>
          <w:color w:val="6B7280"/>
          <w:sz w:val="17"/>
          <w:szCs w:val="17"/>
        </w:rPr>
        <w:t>Enterprise custody platform design spanning corporate actions, AI-enabled capabilities, and core financial infrastructure for institutional clients.</w:t>
      </w:r>
    </w:p>
    <w:p w14:paraId="1A2B3C03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Leading design initiatives across enterprise custody applications, including corporate actions workflows, spanning AI-enabled capabilities and core financial infrastructure.</w:t>
      </w:r>
    </w:p>
    <w:p w14:paraId="1A2B3C04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Mentoring a team of designers, raising design quality and craft consistency across concurrent custody workstreams.</w:t>
      </w:r>
    </w:p>
    <w:p w14:paraId="1A2B3C05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Managing stakeholders across product, engineering, and business partners to align design direction with platform priorities and regulatory requirements.</w:t>
      </w:r>
      <w:r>
        <w:rPr>
          <w:color w:val="111827"/>
        </w:rPr>
        <w:br/>
      </w:r>
    </w:p>
    <w:p w14:paraId="3907B38B" w14:textId="45F2D057" w:rsidR="00851561" w:rsidRDefault="00851561" w:rsidP="00851561">
      <w:pPr>
        <w:tabs>
          <w:tab w:val="right" w:pos="9360"/>
        </w:tabs>
        <w:spacing w:before="120" w:after="16"/>
      </w:pPr>
      <w:r>
        <w:rPr>
          <w:b/>
          <w:bCs/>
          <w:color w:val="111827"/>
        </w:rPr>
        <w:t>Independent UX Design Consultant</w:t>
      </w:r>
      <w:r>
        <w:rPr>
          <w:color w:val="6B7280"/>
        </w:rPr>
        <w:t xml:space="preserve">  ·  </w:t>
      </w:r>
      <w:r>
        <w:rPr>
          <w:i/>
          <w:iCs/>
          <w:color w:val="374151"/>
        </w:rPr>
        <w:t>Enterprise Platform &amp; Design Practice</w:t>
      </w:r>
      <w:r>
        <w:tab/>
      </w:r>
      <w:r>
        <w:rPr>
          <w:color w:val="6B7280"/>
          <w:sz w:val="17"/>
          <w:szCs w:val="17"/>
        </w:rPr>
        <w:t xml:space="preserve">Mar 2024 – </w:t>
      </w:r>
      <w:r w:rsidR="00DE3C3A">
        <w:rPr>
          <w:color w:val="6B7280"/>
          <w:sz w:val="17"/>
          <w:szCs w:val="17"/>
        </w:rPr>
        <w:t>June 2026</w:t>
      </w:r>
    </w:p>
    <w:p w14:paraId="777FA47A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Led UX audits of feature-heavy enterprise SaaS platforms — producing prioritized remediation roadmaps tied directly to user research findings — adopted by product teams in quarterly planning.</w:t>
      </w:r>
    </w:p>
    <w:p w14:paraId="76D5CA03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Established scalable design system foundations (tokens, component libraries, usage documentation) enabling consistent UI delivery across distributed engineering teams.</w:t>
      </w:r>
    </w:p>
    <w:p w14:paraId="02B3D24D" w14:textId="77777777" w:rsidR="00851561" w:rsidRPr="003C1913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Coached client design teams on discovery practices, research integration, and cross-functional collaboration, building internal capability that outlasted each engagement.</w:t>
      </w:r>
    </w:p>
    <w:p w14:paraId="332A6CF5" w14:textId="77777777" w:rsidR="003C1913" w:rsidRDefault="003C1913" w:rsidP="003C1913">
      <w:pPr>
        <w:pStyle w:val="ListParagraph"/>
        <w:spacing w:before="24" w:after="24"/>
        <w:ind w:left="360"/>
      </w:pPr>
    </w:p>
    <w:p w14:paraId="4797752A" w14:textId="77777777" w:rsidR="00851561" w:rsidRDefault="00851561" w:rsidP="00851561">
      <w:pPr>
        <w:tabs>
          <w:tab w:val="right" w:pos="9360"/>
        </w:tabs>
        <w:spacing w:before="120" w:after="16"/>
      </w:pPr>
      <w:r>
        <w:rPr>
          <w:b/>
          <w:bCs/>
          <w:color w:val="111827"/>
        </w:rPr>
        <w:t>Product &amp; UX Design Advisor</w:t>
      </w:r>
      <w:r>
        <w:rPr>
          <w:color w:val="6B7280"/>
        </w:rPr>
        <w:t xml:space="preserve">  ·  </w:t>
      </w:r>
      <w:r>
        <w:rPr>
          <w:i/>
          <w:iCs/>
          <w:color w:val="374151"/>
        </w:rPr>
        <w:t>HiNAIA — AI Platform</w:t>
      </w:r>
      <w:r>
        <w:tab/>
      </w:r>
      <w:r>
        <w:rPr>
          <w:color w:val="6B7280"/>
          <w:sz w:val="17"/>
          <w:szCs w:val="17"/>
        </w:rPr>
        <w:t>Mar 2025 – Jan 2026</w:t>
      </w:r>
    </w:p>
    <w:p w14:paraId="18E1D031" w14:textId="77777777" w:rsidR="00E110E6" w:rsidRPr="00E110E6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Defined interaction models for human-AI workflows — output review, confidence display, override flows — establishing a coherent design system that gave engineering a reliable contract for new AI capability development.</w:t>
      </w:r>
    </w:p>
    <w:p w14:paraId="29FCB4E7" w14:textId="77777777" w:rsidR="00E110E6" w:rsidRPr="003A4B37" w:rsidRDefault="00E110E6" w:rsidP="00E110E6">
      <w:pPr>
        <w:pStyle w:val="ListParagraph"/>
        <w:numPr>
          <w:ilvl w:val="0"/>
          <w:numId w:val="2"/>
        </w:numPr>
        <w:spacing w:before="40" w:after="40"/>
      </w:pPr>
      <w:r>
        <w:t>Translated ambiguous AI output into legible, actionable interface components, reducing user uncertainty about model confidence and next steps.</w:t>
      </w:r>
    </w:p>
    <w:p w14:paraId="1876B803" w14:textId="08C4D14D" w:rsidR="00851561" w:rsidRDefault="00E110E6" w:rsidP="00E110E6">
      <w:pPr>
        <w:pStyle w:val="ListParagraph"/>
        <w:numPr>
          <w:ilvl w:val="0"/>
          <w:numId w:val="2"/>
        </w:numPr>
        <w:spacing w:before="40" w:after="40"/>
      </w:pPr>
      <w:r>
        <w:t>Built a reusable AI UX pattern library that accelerated feature development and gave engineering a reliable design contract for new AI capabilities.</w:t>
      </w:r>
      <w:r>
        <w:rPr>
          <w:color w:val="111827"/>
        </w:rPr>
        <w:br/>
      </w:r>
    </w:p>
    <w:p w14:paraId="75091B17" w14:textId="77777777" w:rsidR="00851561" w:rsidRDefault="00851561" w:rsidP="00851561">
      <w:pPr>
        <w:tabs>
          <w:tab w:val="right" w:pos="9360"/>
        </w:tabs>
        <w:spacing w:before="120" w:after="16"/>
      </w:pPr>
      <w:r>
        <w:rPr>
          <w:b/>
          <w:bCs/>
          <w:color w:val="111827"/>
        </w:rPr>
        <w:t>UX Design Leader</w:t>
      </w:r>
      <w:r>
        <w:rPr>
          <w:color w:val="6B7280"/>
        </w:rPr>
        <w:t xml:space="preserve">  ·  </w:t>
      </w:r>
      <w:r>
        <w:rPr>
          <w:i/>
          <w:iCs/>
          <w:color w:val="374151"/>
        </w:rPr>
        <w:t>GovOS — Government SaaS</w:t>
      </w:r>
      <w:r>
        <w:tab/>
      </w:r>
      <w:r>
        <w:rPr>
          <w:color w:val="6B7280"/>
          <w:sz w:val="17"/>
          <w:szCs w:val="17"/>
        </w:rPr>
        <w:t>Sep 2023 – Feb 2024</w:t>
      </w:r>
    </w:p>
    <w:p w14:paraId="79612A54" w14:textId="77777777" w:rsidR="00851561" w:rsidRDefault="00851561" w:rsidP="00851561">
      <w:pPr>
        <w:spacing w:after="28"/>
      </w:pPr>
      <w:r>
        <w:rPr>
          <w:i/>
          <w:iCs/>
          <w:color w:val="6B7280"/>
          <w:sz w:val="17"/>
          <w:szCs w:val="17"/>
        </w:rPr>
        <w:t>Enterprise SaaS platforms for government administrators managing rule-based permit, compliance, and case management workflows at scale.</w:t>
      </w:r>
    </w:p>
    <w:p w14:paraId="1FA1C4CA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Redesigned complex administrative experiences — permit workflows, compliance forms, case management — by identifying and eliminating unnecessary steps, surfacing critical information earlier, and establishing consistent patterns across independently built product areas.</w:t>
      </w:r>
    </w:p>
    <w:p w14:paraId="1C073EFE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Applied systems thinking to resolve fragmentation across modules: audited the full product surface, identified shared patterns, and established cross-module UI standards that gave the product its first coherent administrative layer.</w:t>
      </w:r>
    </w:p>
    <w:p w14:paraId="5D08664C" w14:textId="3A65B63B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Partnered closely with engineering to validate UI specifications against real platform constraints, preventing implementation drift and cutting revision cycles.</w:t>
      </w:r>
      <w:r>
        <w:rPr>
          <w:color w:val="111827"/>
        </w:rPr>
        <w:br/>
      </w:r>
    </w:p>
    <w:p w14:paraId="60B4D5DB" w14:textId="77777777" w:rsidR="00851561" w:rsidRDefault="00851561" w:rsidP="00851561">
      <w:pPr>
        <w:tabs>
          <w:tab w:val="right" w:pos="9360"/>
        </w:tabs>
        <w:spacing w:before="120" w:after="16"/>
      </w:pPr>
      <w:r>
        <w:rPr>
          <w:b/>
          <w:bCs/>
          <w:color w:val="111827"/>
        </w:rPr>
        <w:t>UX Design Manager</w:t>
      </w:r>
      <w:r>
        <w:rPr>
          <w:color w:val="6B7280"/>
        </w:rPr>
        <w:t xml:space="preserve">  ·  </w:t>
      </w:r>
      <w:r>
        <w:rPr>
          <w:i/>
          <w:iCs/>
          <w:color w:val="374151"/>
        </w:rPr>
        <w:t>Hyland Software — Enterprise Healthcare SaaS</w:t>
      </w:r>
      <w:r>
        <w:tab/>
      </w:r>
      <w:r>
        <w:rPr>
          <w:color w:val="6B7280"/>
          <w:sz w:val="17"/>
          <w:szCs w:val="17"/>
        </w:rPr>
        <w:t>May 2022 – Sep 2023</w:t>
      </w:r>
    </w:p>
    <w:p w14:paraId="147D273A" w14:textId="77777777" w:rsidR="00851561" w:rsidRDefault="00851561" w:rsidP="00851561">
      <w:pPr>
        <w:spacing w:after="28"/>
      </w:pPr>
      <w:r>
        <w:rPr>
          <w:i/>
          <w:iCs/>
          <w:color w:val="6B7280"/>
          <w:sz w:val="17"/>
          <w:szCs w:val="17"/>
        </w:rPr>
        <w:t>UX leadership for enterprise clinical content management — records, exceptions, audit, and administrative workflows used by hospitals and health networks.</w:t>
      </w:r>
    </w:p>
    <w:p w14:paraId="2056886E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Managed and developed a globally distributed team of 7 designers across concurrent product workstreams — established critique cadences, shared standards, and cross-team handoff practices that raised output consistency and reduced design fragmentation.</w:t>
      </w:r>
    </w:p>
    <w:p w14:paraId="32BCABD1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lastRenderedPageBreak/>
        <w:t>Restructured high-density admin and operational interfaces — multi-state record views, exception queues, permission-gated workflows — into scannable, task-oriented layouts that measurably reduced clinical staff time-on-task.</w:t>
      </w:r>
    </w:p>
    <w:p w14:paraId="0B185230" w14:textId="77777777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Established design-to-engineering handoff standards (annotation format, state documentation, edge case coverage) that eliminated implementation ambiguity and significantly reduced revision cycles.</w:t>
      </w:r>
    </w:p>
    <w:p w14:paraId="3F15A612" w14:textId="6B0CDA0F" w:rsidR="00851561" w:rsidRDefault="00851561" w:rsidP="00851561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Drove WCAG 2.1 AA compliance across healthcare interfaces in coordination with accessibility review and QA, supporting regulatory and enterprise procurement requirements.</w:t>
      </w:r>
      <w:r>
        <w:rPr>
          <w:color w:val="111827"/>
        </w:rPr>
        <w:br/>
      </w:r>
    </w:p>
    <w:p w14:paraId="59B88B7F" w14:textId="77777777" w:rsidR="00891B72" w:rsidRDefault="00891B72">
      <w:pPr>
        <w:tabs>
          <w:tab w:val="right" w:pos="9360"/>
        </w:tabs>
        <w:spacing w:before="120" w:after="16"/>
        <w:rPr>
          <w:b/>
          <w:bCs/>
          <w:color w:val="111827"/>
        </w:rPr>
      </w:pPr>
    </w:p>
    <w:p w14:paraId="1B00F6D5" w14:textId="77777777" w:rsidR="00891B72" w:rsidRDefault="00891B72">
      <w:pPr>
        <w:tabs>
          <w:tab w:val="right" w:pos="9360"/>
        </w:tabs>
        <w:spacing w:before="120" w:after="16"/>
        <w:rPr>
          <w:b/>
          <w:bCs/>
          <w:color w:val="111827"/>
        </w:rPr>
      </w:pPr>
    </w:p>
    <w:p w14:paraId="62AFD095" w14:textId="17CC7DC0" w:rsidR="004A37F4" w:rsidRDefault="00000000">
      <w:pPr>
        <w:tabs>
          <w:tab w:val="right" w:pos="9360"/>
        </w:tabs>
        <w:spacing w:before="120" w:after="16"/>
      </w:pPr>
      <w:r>
        <w:rPr>
          <w:b/>
          <w:bCs/>
          <w:color w:val="111827"/>
        </w:rPr>
        <w:t>UX Design Manager</w:t>
      </w:r>
      <w:r>
        <w:rPr>
          <w:color w:val="6B7280"/>
        </w:rPr>
        <w:t xml:space="preserve">  ·  </w:t>
      </w:r>
      <w:r>
        <w:rPr>
          <w:i/>
          <w:iCs/>
          <w:color w:val="374151"/>
        </w:rPr>
        <w:t>IEEE — Global Research Platform  (IEEE Xplore)</w:t>
      </w:r>
      <w:r>
        <w:tab/>
      </w:r>
      <w:r>
        <w:rPr>
          <w:color w:val="6B7280"/>
          <w:sz w:val="17"/>
          <w:szCs w:val="17"/>
        </w:rPr>
        <w:t>Sep 2013 – May 2022</w:t>
      </w:r>
    </w:p>
    <w:p w14:paraId="0DE1DDE4" w14:textId="77777777" w:rsidR="004A37F4" w:rsidRDefault="00000000">
      <w:pPr>
        <w:spacing w:after="28"/>
      </w:pPr>
      <w:r>
        <w:rPr>
          <w:i/>
          <w:iCs/>
          <w:color w:val="6B7280"/>
          <w:sz w:val="17"/>
          <w:szCs w:val="17"/>
        </w:rPr>
        <w:t>Platform UX leadership for IEEE Xplore — a global scientific database serving 5M+ engineers, researchers, faculty, librarians, and students across 200+ countries.</w:t>
      </w:r>
    </w:p>
    <w:p w14:paraId="2D0A2DAD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Led and grew a multidisciplinary design team — designers, researchers, UX writers — over nine years of platform evolution: set hiring standards, performance criteria, growth paths, and a shared design culture that maintained quality as team composition changed.</w:t>
      </w:r>
    </w:p>
    <w:p w14:paraId="7A870203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Coached designers at every seniority level, from early-career practitioners learning to scope and communicate their work, to senior designers shaping product direction — consistently developing designers who took on greater ownership over time.</w:t>
      </w:r>
    </w:p>
    <w:p w14:paraId="286527D3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Directed a multi-year platform modernization: restructured information architecture across thousands of content types, redesigned search, filtering, account management, and institutional access workflows at massive scale — driving 67% engagement growth and 35% reduction in task friction.</w:t>
      </w:r>
    </w:p>
    <w:p w14:paraId="4BB5915C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Built and drove adoption of a component-based design system across IEEE's digital portfolio — establishing shared patterns, usage documentation, and governance processes that distributed teams actually used and contributed back to.</w:t>
      </w:r>
    </w:p>
    <w:p w14:paraId="0F9649BF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Embedded continuous discovery into the product process — usability studies with researchers, faculty, and librarians, longitudinal behavioral analysis — and translated findings into prioritized roadmap decisions with measurable UX outcomes.</w:t>
      </w:r>
    </w:p>
    <w:p w14:paraId="1397D744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Navigated WCAG accessibility compliance and FERPA/COPPA-adjacent data considerations for an academic platform serving minors and institutional data stewards — building trust and governance into the experience from the start.</w:t>
      </w:r>
    </w:p>
    <w:p w14:paraId="432A0BFE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Partnered with product and engineering leadership across concurrent workstreams, aligning design priorities to business strategy and resolving trade-offs with clarity — representing the design perspective in planning, roadmap, and leadership discussions.</w:t>
      </w:r>
    </w:p>
    <w:p w14:paraId="0F729CDC" w14:textId="77777777" w:rsidR="009856F7" w:rsidRDefault="009856F7">
      <w:pPr>
        <w:tabs>
          <w:tab w:val="right" w:pos="9360"/>
        </w:tabs>
        <w:spacing w:before="120" w:after="16"/>
        <w:rPr>
          <w:b/>
          <w:bCs/>
          <w:color w:val="111827"/>
        </w:rPr>
      </w:pPr>
    </w:p>
    <w:p w14:paraId="3DDFBC1D" w14:textId="77777777" w:rsidR="004A37F4" w:rsidRDefault="00000000">
      <w:pPr>
        <w:tabs>
          <w:tab w:val="right" w:pos="9360"/>
        </w:tabs>
        <w:spacing w:before="120" w:after="16"/>
      </w:pPr>
      <w:r>
        <w:rPr>
          <w:b/>
          <w:bCs/>
          <w:color w:val="111827"/>
        </w:rPr>
        <w:t>Senior UX &amp; Product Designer</w:t>
      </w:r>
      <w:r>
        <w:rPr>
          <w:color w:val="6B7280"/>
        </w:rPr>
        <w:t xml:space="preserve">  ·  </w:t>
      </w:r>
      <w:r>
        <w:rPr>
          <w:i/>
          <w:iCs/>
          <w:color w:val="374151"/>
        </w:rPr>
        <w:t>Infragistics  ·  Nielsen  ·  Optum</w:t>
      </w:r>
      <w:r>
        <w:tab/>
      </w:r>
      <w:r>
        <w:rPr>
          <w:color w:val="6B7280"/>
          <w:sz w:val="17"/>
          <w:szCs w:val="17"/>
        </w:rPr>
        <w:t>Aug 2005 – Sep 2013</w:t>
      </w:r>
    </w:p>
    <w:p w14:paraId="4B408412" w14:textId="77777777" w:rsidR="004A37F4" w:rsidRDefault="00000000">
      <w:pPr>
        <w:pStyle w:val="ListParagraph"/>
        <w:numPr>
          <w:ilvl w:val="0"/>
          <w:numId w:val="2"/>
        </w:numPr>
        <w:spacing w:before="24" w:after="24"/>
      </w:pPr>
      <w:r>
        <w:rPr>
          <w:color w:val="111827"/>
        </w:rPr>
        <w:t>Designed enterprise applications across developer tooling, analytical dashboards, and clinical operations — translating complex domain logic into efficient, professional-grade interfaces. Contributed to the Infragistics component library used by thousands of enterprise development teams worldwide.</w:t>
      </w:r>
    </w:p>
    <w:p w14:paraId="051770B9" w14:textId="77777777" w:rsidR="004A37F4" w:rsidRDefault="004A37F4">
      <w:pPr>
        <w:pBdr>
          <w:bottom w:val="single" w:sz="6" w:space="0" w:color="E5E7EB"/>
        </w:pBdr>
        <w:spacing w:before="100" w:after="100"/>
      </w:pPr>
    </w:p>
    <w:p w14:paraId="6F4C15F0" w14:textId="77777777" w:rsidR="004A37F4" w:rsidRPr="00932989" w:rsidRDefault="00000000">
      <w:pPr>
        <w:spacing w:before="160" w:after="60"/>
        <w:rPr>
          <w:color w:val="153D63" w:themeColor="text2" w:themeTint="E6"/>
        </w:rPr>
      </w:pPr>
      <w:r>
        <w:rPr>
          <w:b/>
          <w:bCs/>
          <w:color w:val="153D63" w:themeColor="text2" w:themeTint="E6"/>
          <w:sz w:val="18"/>
          <w:szCs w:val="18"/>
        </w:rPr>
        <w:t>CORE COMPETENCIES</w:t>
      </w:r>
    </w:p>
    <w:p w14:paraId="54F282E2" w14:textId="77777777" w:rsidR="004A37F4" w:rsidRDefault="00000000">
      <w:pPr>
        <w:spacing w:before="28" w:after="28"/>
      </w:pPr>
      <w:r>
        <w:rPr>
          <w:b/>
          <w:bCs/>
          <w:color w:val="111827"/>
        </w:rPr>
        <w:t xml:space="preserve">Design Leadership:  </w:t>
      </w:r>
      <w:r>
        <w:rPr>
          <w:color w:val="374151"/>
        </w:rPr>
        <w:t>Team management &amp; mentoring  ·  Performance &amp; career development  ·  Hiring  ·  Design culture &amp; team health</w:t>
      </w:r>
    </w:p>
    <w:p w14:paraId="76940B1D" w14:textId="77777777" w:rsidR="004A37F4" w:rsidRDefault="00000000">
      <w:pPr>
        <w:spacing w:before="28" w:after="28"/>
      </w:pPr>
      <w:r>
        <w:rPr>
          <w:b/>
          <w:bCs/>
          <w:color w:val="111827"/>
        </w:rPr>
        <w:t xml:space="preserve">Platform &amp; Enterprise UX:  </w:t>
      </w:r>
      <w:r>
        <w:rPr>
          <w:color w:val="374151"/>
        </w:rPr>
        <w:t>Admin &amp; governance workflows  ·  Permissions &amp; user management  ·  Configuration &amp; onboarding  ·  Complex B2B SaaS</w:t>
      </w:r>
    </w:p>
    <w:p w14:paraId="287B50C5" w14:textId="77777777" w:rsidR="004A37F4" w:rsidRDefault="00000000">
      <w:pPr>
        <w:spacing w:before="28" w:after="28"/>
      </w:pPr>
      <w:r>
        <w:rPr>
          <w:b/>
          <w:bCs/>
          <w:color w:val="111827"/>
        </w:rPr>
        <w:t xml:space="preserve">Systems &amp; Quality:  </w:t>
      </w:r>
      <w:r>
        <w:rPr>
          <w:color w:val="374151"/>
        </w:rPr>
        <w:t>Design systems  ·  Component libraries  ·  Cross-product consistency  ·  Accessibility (WCAG 2.1 AA)</w:t>
      </w:r>
    </w:p>
    <w:p w14:paraId="1DD66B5D" w14:textId="77777777" w:rsidR="004A37F4" w:rsidRDefault="00000000">
      <w:pPr>
        <w:spacing w:before="28" w:after="28"/>
      </w:pPr>
      <w:r>
        <w:rPr>
          <w:b/>
          <w:bCs/>
          <w:color w:val="111827"/>
        </w:rPr>
        <w:t xml:space="preserve">Cross-functional:  </w:t>
      </w:r>
      <w:r>
        <w:rPr>
          <w:color w:val="374151"/>
        </w:rPr>
        <w:t>PM &amp; engineering partnership  ·  Stakeholder alignment  ·  Discovery &amp; research integration  ·  Roadmap communication</w:t>
      </w:r>
    </w:p>
    <w:p w14:paraId="45E18170" w14:textId="77777777" w:rsidR="004A37F4" w:rsidRDefault="00000000">
      <w:pPr>
        <w:spacing w:before="28" w:after="28"/>
      </w:pPr>
      <w:r>
        <w:rPr>
          <w:b/>
          <w:bCs/>
          <w:color w:val="111827"/>
        </w:rPr>
        <w:t xml:space="preserve">Tools:  </w:t>
      </w:r>
      <w:r>
        <w:rPr>
          <w:color w:val="374151"/>
        </w:rPr>
        <w:t>Figma (advanced)  ·  Prototyping  ·  Usability testing  ·  Journey mapping  ·  Agile / Scrum  ·  Jira  ·  Confluence</w:t>
      </w:r>
    </w:p>
    <w:p w14:paraId="772F776E" w14:textId="77777777" w:rsidR="004A37F4" w:rsidRDefault="004A37F4">
      <w:pPr>
        <w:pBdr>
          <w:bottom w:val="single" w:sz="6" w:space="0" w:color="E5E7EB"/>
        </w:pBdr>
        <w:spacing w:before="100" w:after="100"/>
      </w:pPr>
    </w:p>
    <w:p w14:paraId="7305BDAE" w14:textId="77777777" w:rsidR="004A37F4" w:rsidRPr="00932989" w:rsidRDefault="00000000">
      <w:pPr>
        <w:spacing w:before="160" w:after="60"/>
        <w:rPr>
          <w:color w:val="153D63" w:themeColor="text2" w:themeTint="E6"/>
        </w:rPr>
      </w:pPr>
      <w:r>
        <w:rPr>
          <w:b/>
          <w:bCs/>
          <w:color w:val="153D63" w:themeColor="text2" w:themeTint="E6"/>
          <w:sz w:val="18"/>
          <w:szCs w:val="18"/>
        </w:rPr>
        <w:t>EDUCATION</w:t>
      </w:r>
    </w:p>
    <w:p w14:paraId="3E4AACAE" w14:textId="77777777" w:rsidR="004A37F4" w:rsidRDefault="00000000">
      <w:pPr>
        <w:spacing w:before="40"/>
      </w:pPr>
      <w:r>
        <w:rPr>
          <w:color w:val="111827"/>
        </w:rPr>
        <w:t xml:space="preserve">MBA Certification, User Experience &amp; Design Thinking  ·  </w:t>
      </w:r>
      <w:r>
        <w:rPr>
          <w:i/>
          <w:iCs/>
          <w:color w:val="111827"/>
        </w:rPr>
        <w:t>Rutgers University</w:t>
      </w:r>
    </w:p>
    <w:sectPr w:rsidR="004A37F4">
      <w:pgSz w:w="12240" w:h="15840"/>
      <w:pgMar w:top="864" w:right="1080" w:bottom="864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2B45B9"/>
    <w:multiLevelType w:val="hybridMultilevel"/>
    <w:tmpl w:val="1A8CD9BE"/>
    <w:lvl w:ilvl="0" w:tplc="C9E4BB68">
      <w:start w:val="1"/>
      <w:numFmt w:val="bullet"/>
      <w:lvlText w:val="–"/>
      <w:lvlJc w:val="left"/>
      <w:pPr>
        <w:ind w:left="480" w:hanging="240"/>
      </w:pPr>
    </w:lvl>
    <w:lvl w:ilvl="1" w:tplc="01FC753A">
      <w:numFmt w:val="decimal"/>
      <w:lvlText w:val=""/>
      <w:lvlJc w:val="left"/>
    </w:lvl>
    <w:lvl w:ilvl="2" w:tplc="A2FAD332">
      <w:numFmt w:val="decimal"/>
      <w:lvlText w:val=""/>
      <w:lvlJc w:val="left"/>
    </w:lvl>
    <w:lvl w:ilvl="3" w:tplc="BB2891FA">
      <w:numFmt w:val="decimal"/>
      <w:lvlText w:val=""/>
      <w:lvlJc w:val="left"/>
    </w:lvl>
    <w:lvl w:ilvl="4" w:tplc="BAE44736">
      <w:numFmt w:val="decimal"/>
      <w:lvlText w:val=""/>
      <w:lvlJc w:val="left"/>
    </w:lvl>
    <w:lvl w:ilvl="5" w:tplc="3868361A">
      <w:numFmt w:val="decimal"/>
      <w:lvlText w:val=""/>
      <w:lvlJc w:val="left"/>
    </w:lvl>
    <w:lvl w:ilvl="6" w:tplc="0B52C22E">
      <w:numFmt w:val="decimal"/>
      <w:lvlText w:val=""/>
      <w:lvlJc w:val="left"/>
    </w:lvl>
    <w:lvl w:ilvl="7" w:tplc="FCD878C8">
      <w:numFmt w:val="decimal"/>
      <w:lvlText w:val=""/>
      <w:lvlJc w:val="left"/>
    </w:lvl>
    <w:lvl w:ilvl="8" w:tplc="288E44F4">
      <w:numFmt w:val="decimal"/>
      <w:lvlText w:val=""/>
      <w:lvlJc w:val="left"/>
    </w:lvl>
  </w:abstractNum>
  <w:abstractNum w:abstractNumId="1" w15:restartNumberingAfterBreak="0">
    <w:nsid w:val="14263B28"/>
    <w:multiLevelType w:val="hybridMultilevel"/>
    <w:tmpl w:val="6F94F50C"/>
    <w:lvl w:ilvl="0" w:tplc="8E5CEF02">
      <w:start w:val="1"/>
      <w:numFmt w:val="bullet"/>
      <w:lvlText w:val="•"/>
      <w:lvlJc w:val="left"/>
      <w:pPr>
        <w:ind w:left="360" w:hanging="240"/>
      </w:pPr>
    </w:lvl>
    <w:lvl w:ilvl="1" w:tplc="AC76DCC0">
      <w:numFmt w:val="decimal"/>
      <w:lvlText w:val=""/>
      <w:lvlJc w:val="left"/>
    </w:lvl>
    <w:lvl w:ilvl="2" w:tplc="52946AA2">
      <w:numFmt w:val="decimal"/>
      <w:lvlText w:val=""/>
      <w:lvlJc w:val="left"/>
    </w:lvl>
    <w:lvl w:ilvl="3" w:tplc="6298C3CC">
      <w:numFmt w:val="decimal"/>
      <w:lvlText w:val=""/>
      <w:lvlJc w:val="left"/>
    </w:lvl>
    <w:lvl w:ilvl="4" w:tplc="E3B677FA">
      <w:numFmt w:val="decimal"/>
      <w:lvlText w:val=""/>
      <w:lvlJc w:val="left"/>
    </w:lvl>
    <w:lvl w:ilvl="5" w:tplc="0C52FEDC">
      <w:numFmt w:val="decimal"/>
      <w:lvlText w:val=""/>
      <w:lvlJc w:val="left"/>
    </w:lvl>
    <w:lvl w:ilvl="6" w:tplc="E07ED734">
      <w:numFmt w:val="decimal"/>
      <w:lvlText w:val=""/>
      <w:lvlJc w:val="left"/>
    </w:lvl>
    <w:lvl w:ilvl="7" w:tplc="8F0ADCEA">
      <w:numFmt w:val="decimal"/>
      <w:lvlText w:val=""/>
      <w:lvlJc w:val="left"/>
    </w:lvl>
    <w:lvl w:ilvl="8" w:tplc="8DCE92F8">
      <w:numFmt w:val="decimal"/>
      <w:lvlText w:val=""/>
      <w:lvlJc w:val="left"/>
    </w:lvl>
  </w:abstractNum>
  <w:abstractNum w:abstractNumId="2" w15:restartNumberingAfterBreak="0">
    <w:nsid w:val="5DC7714F"/>
    <w:multiLevelType w:val="hybridMultilevel"/>
    <w:tmpl w:val="4B7AE0A8"/>
    <w:lvl w:ilvl="0" w:tplc="4C2460C0">
      <w:start w:val="1"/>
      <w:numFmt w:val="bullet"/>
      <w:lvlText w:val="●"/>
      <w:lvlJc w:val="left"/>
      <w:pPr>
        <w:ind w:left="720" w:hanging="360"/>
      </w:pPr>
    </w:lvl>
    <w:lvl w:ilvl="1" w:tplc="172409FA">
      <w:start w:val="1"/>
      <w:numFmt w:val="bullet"/>
      <w:lvlText w:val="○"/>
      <w:lvlJc w:val="left"/>
      <w:pPr>
        <w:ind w:left="1440" w:hanging="360"/>
      </w:pPr>
    </w:lvl>
    <w:lvl w:ilvl="2" w:tplc="025838B8">
      <w:start w:val="1"/>
      <w:numFmt w:val="bullet"/>
      <w:lvlText w:val="■"/>
      <w:lvlJc w:val="left"/>
      <w:pPr>
        <w:ind w:left="2160" w:hanging="360"/>
      </w:pPr>
    </w:lvl>
    <w:lvl w:ilvl="3" w:tplc="3EF49384">
      <w:start w:val="1"/>
      <w:numFmt w:val="bullet"/>
      <w:lvlText w:val="●"/>
      <w:lvlJc w:val="left"/>
      <w:pPr>
        <w:ind w:left="2880" w:hanging="360"/>
      </w:pPr>
    </w:lvl>
    <w:lvl w:ilvl="4" w:tplc="965A9296">
      <w:start w:val="1"/>
      <w:numFmt w:val="bullet"/>
      <w:lvlText w:val="○"/>
      <w:lvlJc w:val="left"/>
      <w:pPr>
        <w:ind w:left="3600" w:hanging="360"/>
      </w:pPr>
    </w:lvl>
    <w:lvl w:ilvl="5" w:tplc="1FE02194">
      <w:start w:val="1"/>
      <w:numFmt w:val="bullet"/>
      <w:lvlText w:val="■"/>
      <w:lvlJc w:val="left"/>
      <w:pPr>
        <w:ind w:left="4320" w:hanging="360"/>
      </w:pPr>
    </w:lvl>
    <w:lvl w:ilvl="6" w:tplc="6D84C206">
      <w:start w:val="1"/>
      <w:numFmt w:val="bullet"/>
      <w:lvlText w:val="●"/>
      <w:lvlJc w:val="left"/>
      <w:pPr>
        <w:ind w:left="5040" w:hanging="360"/>
      </w:pPr>
    </w:lvl>
    <w:lvl w:ilvl="7" w:tplc="DA28A8BC">
      <w:start w:val="1"/>
      <w:numFmt w:val="bullet"/>
      <w:lvlText w:val="●"/>
      <w:lvlJc w:val="left"/>
      <w:pPr>
        <w:ind w:left="5760" w:hanging="360"/>
      </w:pPr>
    </w:lvl>
    <w:lvl w:ilvl="8" w:tplc="BB36BB34">
      <w:start w:val="1"/>
      <w:numFmt w:val="bullet"/>
      <w:lvlText w:val="●"/>
      <w:lvlJc w:val="left"/>
      <w:pPr>
        <w:ind w:left="6480" w:hanging="360"/>
      </w:pPr>
    </w:lvl>
  </w:abstractNum>
  <w:num w:numId="1" w16cid:durableId="2062171249">
    <w:abstractNumId w:val="2"/>
    <w:lvlOverride w:ilvl="0">
      <w:startOverride w:val="1"/>
    </w:lvlOverride>
  </w:num>
  <w:num w:numId="2" w16cid:durableId="128280035">
    <w:abstractNumId w:val="1"/>
    <w:lvlOverride w:ilvl="0">
      <w:startOverride w:val="1"/>
    </w:lvlOverride>
  </w:num>
  <w:num w:numId="3" w16cid:durableId="16500885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F4"/>
    <w:rsid w:val="00281617"/>
    <w:rsid w:val="002A7022"/>
    <w:rsid w:val="003C1913"/>
    <w:rsid w:val="003D1C9D"/>
    <w:rsid w:val="004A37F4"/>
    <w:rsid w:val="004F4181"/>
    <w:rsid w:val="00851561"/>
    <w:rsid w:val="00891B72"/>
    <w:rsid w:val="00932989"/>
    <w:rsid w:val="009856F7"/>
    <w:rsid w:val="00A50273"/>
    <w:rsid w:val="00BD6C42"/>
    <w:rsid w:val="00DE3C3A"/>
    <w:rsid w:val="00E1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C26BF3"/>
  <w15:docId w15:val="{D0788F23-46B9-1046-A66A-2AE0F060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998</Words>
  <Characters>6914</Characters>
  <Application>Microsoft Office Word</Application>
  <DocSecurity>0</DocSecurity>
  <Lines>101</Lines>
  <Paragraphs>55</Paragraphs>
  <ScaleCrop>false</ScaleCrop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jose salvador</cp:lastModifiedBy>
  <cp:revision>3</cp:revision>
  <dcterms:created xsi:type="dcterms:W3CDTF">2026-08-09T21:32:00Z</dcterms:created>
  <dcterms:modified xsi:type="dcterms:W3CDTF">2026-08-09T21:32:00Z</dcterms:modified>
</cp:coreProperties>
</file>